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BC3" w:rsidRPr="00B2583D" w:rsidRDefault="00A10BC3" w:rsidP="00A10BC3">
      <w:pPr>
        <w:pStyle w:val="ListParagraph"/>
        <w:rPr>
          <w:rFonts w:ascii="Century Gothic" w:hAnsi="Century Gothic"/>
          <w:b/>
          <w:sz w:val="24"/>
          <w:szCs w:val="24"/>
          <w:lang w:val="sw-KE"/>
        </w:rPr>
      </w:pPr>
      <w:bookmarkStart w:id="0" w:name="_GoBack"/>
      <w:bookmarkEnd w:id="0"/>
      <w:r w:rsidRPr="00B2583D">
        <w:rPr>
          <w:rFonts w:ascii="Century Gothic" w:hAnsi="Century Gothic"/>
          <w:b/>
          <w:sz w:val="24"/>
          <w:szCs w:val="24"/>
          <w:lang w:val="sw-KE"/>
        </w:rPr>
        <w:t>Utafiti Kuhusu Mfumo wa Sheria Zinazohusiana Biashara ya Kaboni</w:t>
      </w:r>
    </w:p>
    <w:p w:rsidR="00A10BC3" w:rsidRPr="00B2583D" w:rsidRDefault="00A10BC3" w:rsidP="00A10BC3">
      <w:pPr>
        <w:spacing w:before="240" w:line="360" w:lineRule="auto"/>
        <w:jc w:val="both"/>
        <w:rPr>
          <w:rFonts w:ascii="Century Gothic" w:hAnsi="Century Gothic" w:cs="Arial"/>
          <w:sz w:val="24"/>
          <w:szCs w:val="24"/>
          <w:lang w:val="sw-KE"/>
        </w:rPr>
      </w:pPr>
      <w:r w:rsidRPr="00B2583D">
        <w:rPr>
          <w:rFonts w:ascii="Century Gothic" w:hAnsi="Century Gothic" w:cs="Arial"/>
          <w:sz w:val="24"/>
          <w:szCs w:val="24"/>
          <w:lang w:val="sw-KE"/>
        </w:rPr>
        <w:t>Utafiti huu unafanywa na Tume kwa lengo la kubaini changamoto zilizopo katika mfumo wa kisheria na kitaasisi kuhusu Biashara ya kaboni ili kuishauri serikali maeneo yanayohitaji maboresho kwa lengo la kuwezesha kukabiliana na mabadiliko ya tabianchi, kulinda mifumo ya ikolojia na kuimarisha ustawi wa jamii.</w:t>
      </w:r>
    </w:p>
    <w:p w:rsidR="00A10BC3" w:rsidRPr="00B2583D" w:rsidRDefault="00A10BC3" w:rsidP="00A10BC3">
      <w:pPr>
        <w:spacing w:before="240" w:line="360" w:lineRule="auto"/>
        <w:jc w:val="both"/>
        <w:rPr>
          <w:rFonts w:ascii="Century Gothic" w:hAnsi="Century Gothic" w:cs="Arial"/>
          <w:sz w:val="24"/>
          <w:szCs w:val="24"/>
          <w:lang w:val="sw-KE"/>
        </w:rPr>
      </w:pPr>
      <w:r w:rsidRPr="00B2583D">
        <w:rPr>
          <w:rFonts w:ascii="Century Gothic" w:hAnsi="Century Gothic" w:cs="Arial"/>
          <w:sz w:val="24"/>
          <w:szCs w:val="24"/>
          <w:lang w:val="sw-KE"/>
        </w:rPr>
        <w:t xml:space="preserve">Aidha, utafiti unafanyika kwa kuzingatia moja ya Nguzo za Dira ya Maendeleo ya Taifa ya mwaka 2050 inayoelekeza kuwa na uhifidhi wa mazingira na ustahimilivu dhidi ya mabadiliko ya tabianchi, sambamba na kuwa na Taifa linalotumia kikamilifu fursa za biashara ya kaboni na upatikanaji wa fedha kupitia ajenda ya mabadiliko ya tabianchi duniani ili kuongeza uwezo wa jamii na taifa katika kukabiliana na mabadiliko ya tabianchi. </w:t>
      </w:r>
    </w:p>
    <w:p w:rsidR="003B771C" w:rsidRDefault="003B771C"/>
    <w:sectPr w:rsidR="003B771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71726C"/>
    <w:multiLevelType w:val="hybridMultilevel"/>
    <w:tmpl w:val="C512F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BC3"/>
    <w:rsid w:val="003B771C"/>
    <w:rsid w:val="00A10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BC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B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BC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B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2025-11-25T07:13:00Z</dcterms:created>
  <dcterms:modified xsi:type="dcterms:W3CDTF">2025-11-25T07:13:00Z</dcterms:modified>
</cp:coreProperties>
</file>